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29" w:rsidRPr="00C32441" w:rsidRDefault="00652829" w:rsidP="00331604">
      <w:pPr>
        <w:numPr>
          <w:ilvl w:val="0"/>
          <w:numId w:val="1"/>
        </w:num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C32441">
        <w:rPr>
          <w:rFonts w:ascii="標楷體" w:eastAsia="標楷體" w:hAnsi="標楷體" w:hint="eastAsia"/>
          <w:b/>
          <w:color w:val="000000" w:themeColor="text1"/>
          <w:szCs w:val="24"/>
        </w:rPr>
        <w:t>內部稽核實施</w:t>
      </w:r>
      <w:r w:rsidR="000C7957" w:rsidRPr="00C32441">
        <w:rPr>
          <w:rFonts w:ascii="標楷體" w:eastAsia="標楷體" w:hAnsi="標楷體" w:hint="eastAsia"/>
          <w:b/>
          <w:color w:val="000000" w:themeColor="text1"/>
          <w:szCs w:val="24"/>
        </w:rPr>
        <w:t>辦法</w:t>
      </w: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C32441">
        <w:rPr>
          <w:rFonts w:ascii="標楷體" w:eastAsia="標楷體" w:hAnsi="標楷體" w:hint="eastAsia"/>
          <w:b/>
          <w:bCs/>
          <w:color w:val="000000" w:themeColor="text1"/>
        </w:rPr>
        <w:t>一、目的：</w:t>
      </w:r>
    </w:p>
    <w:p w:rsidR="00652829" w:rsidRPr="00C32441" w:rsidRDefault="00652829" w:rsidP="00331604">
      <w:pPr>
        <w:pStyle w:val="a7"/>
        <w:tabs>
          <w:tab w:val="clear" w:pos="960"/>
          <w:tab w:val="left" w:pos="360"/>
        </w:tabs>
        <w:ind w:leftChars="220" w:left="528" w:right="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本校</w:t>
      </w:r>
      <w:r w:rsidRPr="00C32441">
        <w:rPr>
          <w:rFonts w:hAnsi="標楷體"/>
          <w:color w:val="000000" w:themeColor="text1"/>
          <w:sz w:val="24"/>
        </w:rPr>
        <w:t>實施內部稽核，</w:t>
      </w:r>
      <w:r w:rsidRPr="00C32441">
        <w:rPr>
          <w:rFonts w:hAnsi="標楷體" w:hint="eastAsia"/>
          <w:color w:val="000000" w:themeColor="text1"/>
          <w:sz w:val="24"/>
        </w:rPr>
        <w:t>以</w:t>
      </w:r>
      <w:r w:rsidRPr="00C32441">
        <w:rPr>
          <w:rFonts w:hAnsi="標楷體"/>
          <w:color w:val="000000" w:themeColor="text1"/>
          <w:sz w:val="24"/>
        </w:rPr>
        <w:t>協助</w:t>
      </w:r>
      <w:r w:rsidRPr="00C32441">
        <w:rPr>
          <w:rFonts w:hAnsi="標楷體" w:hint="eastAsia"/>
          <w:color w:val="000000" w:themeColor="text1"/>
          <w:sz w:val="24"/>
        </w:rPr>
        <w:t>校長</w:t>
      </w:r>
      <w:r w:rsidRPr="00C32441">
        <w:rPr>
          <w:rFonts w:hAnsi="標楷體"/>
          <w:color w:val="000000" w:themeColor="text1"/>
          <w:sz w:val="24"/>
        </w:rPr>
        <w:t>檢</w:t>
      </w:r>
      <w:r w:rsidRPr="00C32441">
        <w:rPr>
          <w:rFonts w:hAnsi="標楷體" w:hint="eastAsia"/>
          <w:color w:val="000000" w:themeColor="text1"/>
          <w:sz w:val="24"/>
        </w:rPr>
        <w:t>核</w:t>
      </w:r>
      <w:r w:rsidRPr="00C32441">
        <w:rPr>
          <w:rFonts w:hAnsi="標楷體"/>
          <w:color w:val="000000" w:themeColor="text1"/>
          <w:sz w:val="24"/>
        </w:rPr>
        <w:t>內部控制制度</w:t>
      </w:r>
      <w:r w:rsidRPr="00C32441">
        <w:rPr>
          <w:rFonts w:hAnsi="標楷體" w:hint="eastAsia"/>
          <w:color w:val="000000" w:themeColor="text1"/>
          <w:sz w:val="24"/>
        </w:rPr>
        <w:t>之有效程度，</w:t>
      </w:r>
      <w:r w:rsidRPr="00C32441">
        <w:rPr>
          <w:rFonts w:hAnsi="標楷體"/>
          <w:color w:val="000000" w:themeColor="text1"/>
          <w:sz w:val="24"/>
        </w:rPr>
        <w:t>衡量</w:t>
      </w:r>
      <w:r w:rsidRPr="00C32441">
        <w:rPr>
          <w:rFonts w:hAnsi="標楷體" w:hint="eastAsia"/>
          <w:color w:val="000000" w:themeColor="text1"/>
          <w:sz w:val="24"/>
        </w:rPr>
        <w:t>學校營運</w:t>
      </w:r>
      <w:r w:rsidRPr="00C32441">
        <w:rPr>
          <w:rFonts w:hAnsi="標楷體"/>
          <w:color w:val="000000" w:themeColor="text1"/>
          <w:sz w:val="24"/>
        </w:rPr>
        <w:t>之效果及效率，適時提供改進建議，確保內部控制制度得以持續有效實施</w:t>
      </w:r>
      <w:r w:rsidRPr="00C32441">
        <w:rPr>
          <w:rFonts w:hAnsi="標楷體" w:hint="eastAsia"/>
          <w:color w:val="000000" w:themeColor="text1"/>
          <w:sz w:val="24"/>
        </w:rPr>
        <w:t>。</w:t>
      </w:r>
    </w:p>
    <w:p w:rsidR="00652829" w:rsidRPr="00C32441" w:rsidRDefault="00652829" w:rsidP="00331604">
      <w:pPr>
        <w:pStyle w:val="a7"/>
        <w:tabs>
          <w:tab w:val="clear" w:pos="960"/>
          <w:tab w:val="left" w:pos="360"/>
        </w:tabs>
        <w:ind w:leftChars="150" w:left="360"/>
        <w:jc w:val="both"/>
        <w:rPr>
          <w:rFonts w:hAnsi="標楷體"/>
          <w:color w:val="000000" w:themeColor="text1"/>
          <w:sz w:val="24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C32441">
        <w:rPr>
          <w:rFonts w:ascii="標楷體" w:eastAsia="標楷體" w:hAnsi="標楷體" w:hint="eastAsia"/>
          <w:b/>
          <w:bCs/>
          <w:color w:val="000000" w:themeColor="text1"/>
        </w:rPr>
        <w:t>二、適用範圍：</w:t>
      </w:r>
    </w:p>
    <w:p w:rsidR="00652829" w:rsidRPr="00C32441" w:rsidRDefault="00652829" w:rsidP="00331604">
      <w:pPr>
        <w:pStyle w:val="a7"/>
        <w:tabs>
          <w:tab w:val="clear" w:pos="960"/>
          <w:tab w:val="left" w:pos="360"/>
        </w:tabs>
        <w:ind w:leftChars="220" w:left="528" w:right="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本校</w:t>
      </w:r>
      <w:r w:rsidRPr="00C32441">
        <w:rPr>
          <w:rFonts w:hAnsi="標楷體"/>
          <w:color w:val="000000" w:themeColor="text1"/>
          <w:sz w:val="24"/>
        </w:rPr>
        <w:t>各單位。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rightChars="12" w:right="29"/>
        <w:jc w:val="both"/>
        <w:rPr>
          <w:rFonts w:hAnsi="標楷體"/>
          <w:b/>
          <w:bCs/>
          <w:color w:val="000000" w:themeColor="text1"/>
          <w:sz w:val="24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C32441">
        <w:rPr>
          <w:rFonts w:ascii="標楷體" w:eastAsia="標楷體" w:hAnsi="標楷體" w:hint="eastAsia"/>
          <w:b/>
          <w:bCs/>
          <w:color w:val="000000" w:themeColor="text1"/>
        </w:rPr>
        <w:t>三、作業說明：</w:t>
      </w: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  <w:color w:val="000000" w:themeColor="text1"/>
        </w:rPr>
      </w:pPr>
      <w:bookmarkStart w:id="0" w:name="_GoBack"/>
      <w:bookmarkEnd w:id="0"/>
    </w:p>
    <w:p w:rsidR="00652829" w:rsidRPr="00C32441" w:rsidRDefault="00652829" w:rsidP="00331604">
      <w:pPr>
        <w:pStyle w:val="a7"/>
        <w:tabs>
          <w:tab w:val="clear" w:pos="960"/>
        </w:tabs>
        <w:ind w:leftChars="0" w:left="0"/>
        <w:jc w:val="both"/>
        <w:rPr>
          <w:rFonts w:hAnsi="標楷體"/>
          <w:b/>
          <w:bCs/>
          <w:color w:val="000000" w:themeColor="text1"/>
          <w:sz w:val="24"/>
          <w:szCs w:val="24"/>
        </w:rPr>
      </w:pPr>
      <w:r w:rsidRPr="00C32441">
        <w:rPr>
          <w:rFonts w:hAnsi="標楷體"/>
          <w:b/>
          <w:bCs/>
          <w:color w:val="000000" w:themeColor="text1"/>
          <w:sz w:val="24"/>
          <w:szCs w:val="24"/>
        </w:rPr>
        <w:lastRenderedPageBreak/>
        <w:t>◎</w:t>
      </w:r>
      <w:r w:rsidRPr="00C32441">
        <w:rPr>
          <w:rFonts w:hAnsi="標楷體" w:hint="eastAsia"/>
          <w:b/>
          <w:color w:val="000000" w:themeColor="text1"/>
          <w:sz w:val="24"/>
          <w:szCs w:val="24"/>
        </w:rPr>
        <w:t>內部稽核作業規範</w:t>
      </w:r>
    </w:p>
    <w:p w:rsidR="00652829" w:rsidRPr="00C32441" w:rsidRDefault="00652829" w:rsidP="00331604">
      <w:pPr>
        <w:autoSpaceDE w:val="0"/>
        <w:autoSpaceDN w:val="0"/>
        <w:spacing w:line="240" w:lineRule="auto"/>
        <w:ind w:left="397" w:right="28" w:hanging="397"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C32441">
        <w:rPr>
          <w:rFonts w:ascii="標楷體" w:eastAsia="標楷體" w:hAnsi="標楷體" w:hint="eastAsia"/>
          <w:b/>
          <w:bCs/>
          <w:color w:val="000000" w:themeColor="text1"/>
          <w:szCs w:val="24"/>
        </w:rPr>
        <w:t>1.</w:t>
      </w:r>
      <w:r w:rsidR="00517E51" w:rsidRPr="00C32441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</w:t>
      </w:r>
      <w:r w:rsidRPr="00C32441">
        <w:rPr>
          <w:rFonts w:ascii="標楷體" w:eastAsia="標楷體" w:hAnsi="標楷體"/>
          <w:b/>
          <w:bCs/>
          <w:color w:val="000000" w:themeColor="text1"/>
          <w:szCs w:val="24"/>
        </w:rPr>
        <w:t>流程圖：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12"/>
        <w:gridCol w:w="4614"/>
        <w:gridCol w:w="2802"/>
      </w:tblGrid>
      <w:tr w:rsidR="00C32441" w:rsidRPr="00C32441" w:rsidTr="0031755F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9" w:rsidRPr="00C32441" w:rsidRDefault="00652829" w:rsidP="00317D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Cs w:val="24"/>
              </w:rPr>
              <w:t>負責單位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9" w:rsidRPr="00C32441" w:rsidRDefault="00652829" w:rsidP="00317D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作業流程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9" w:rsidRPr="00C32441" w:rsidRDefault="00652829" w:rsidP="00317D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</w:tr>
      <w:tr w:rsidR="00C32441" w:rsidRPr="00C32441" w:rsidTr="0031755F">
        <w:trPr>
          <w:trHeight w:val="11183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 w:val="20"/>
              </w:rPr>
              <w:t>稽核室</w:t>
            </w: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 w:val="20"/>
              </w:rPr>
              <w:t>校長室</w:t>
            </w: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 w:val="20"/>
              </w:rPr>
              <w:t>稽核室</w:t>
            </w: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 w:val="20"/>
              </w:rPr>
              <w:t>各受稽單位</w:t>
            </w: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 w:val="20"/>
              </w:rPr>
              <w:t>稽核室</w:t>
            </w: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 w:val="20"/>
              </w:rPr>
              <w:t>各受稽單位</w:t>
            </w: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 w:val="20"/>
              </w:rPr>
              <w:t>稽核室</w:t>
            </w: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2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 w:val="20"/>
              </w:rPr>
              <w:t>校長室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29" w:rsidRPr="00C32441" w:rsidRDefault="00652829" w:rsidP="00D720E1">
            <w:pPr>
              <w:snapToGrid w:val="0"/>
              <w:spacing w:line="240" w:lineRule="atLeast"/>
              <w:jc w:val="center"/>
              <w:rPr>
                <w:rFonts w:ascii="Calibri" w:eastAsia="新細明體" w:hAnsi="Calibri"/>
                <w:color w:val="000000" w:themeColor="text1"/>
              </w:rPr>
            </w:pPr>
          </w:p>
          <w:p w:rsidR="00652829" w:rsidRPr="00C32441" w:rsidRDefault="00C32441" w:rsidP="00C324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2"/>
              </w:rPr>
            </w:pPr>
            <w:r>
              <w:object w:dxaOrig="3494" w:dyaOrig="11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560.25pt" o:ole="">
                  <v:imagedata r:id="rId7" o:title=""/>
                </v:shape>
                <o:OLEObject Type="Embed" ProgID="Visio.Drawing.11" ShapeID="_x0000_i1025" DrawAspect="Content" ObjectID="_1663582865" r:id="rId8"/>
              </w:objec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pStyle w:val="HTML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依風險評估，擬定稽核計畫。</w:t>
            </w:r>
          </w:p>
          <w:p w:rsidR="00652829" w:rsidRPr="00C32441" w:rsidRDefault="00652829" w:rsidP="00331604">
            <w:pPr>
              <w:pStyle w:val="HTML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pStyle w:val="HTML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學校稽核計畫應經校長核定。</w:t>
            </w: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AC14AC" w:rsidRPr="00C32441" w:rsidRDefault="00AC14AC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pStyle w:val="HTML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稽核</w:t>
            </w:r>
            <w:r w:rsidR="00E67007" w:rsidRPr="00C32441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人員</w:t>
            </w:r>
            <w:r w:rsidRPr="00C32441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應與受稽核單位主管事前溝通，確定稽核時間及相關協調工作。</w:t>
            </w:r>
          </w:p>
          <w:p w:rsidR="00652829" w:rsidRPr="00C32441" w:rsidRDefault="00E67007" w:rsidP="00331604">
            <w:pPr>
              <w:pStyle w:val="HTML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稽核人員</w:t>
            </w:r>
            <w:r w:rsidR="00652829" w:rsidRPr="00C32441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應於稽核前7日，通知受稽核單位。</w:t>
            </w:r>
          </w:p>
          <w:p w:rsidR="00652829" w:rsidRPr="00C32441" w:rsidRDefault="00652829" w:rsidP="00331604">
            <w:pPr>
              <w:pStyle w:val="HTML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  <w:p w:rsidR="00652829" w:rsidRPr="00C32441" w:rsidRDefault="00652829" w:rsidP="00331604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</w:rPr>
            </w:pPr>
          </w:p>
          <w:p w:rsidR="00652829" w:rsidRPr="00C32441" w:rsidRDefault="00652829" w:rsidP="00331604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 w:val="20"/>
              </w:rPr>
              <w:t>執行稽核時，將稽核過程記錄於工作底稿，作為編製報告之根據。</w:t>
            </w: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 w:val="20"/>
              </w:rPr>
              <w:t>稽核時所發現之內部控制制度缺失、異常事項及其他缺失事項，應於年度稽核報告中據實揭露。</w:t>
            </w:r>
          </w:p>
          <w:p w:rsidR="00652829" w:rsidRPr="00C32441" w:rsidRDefault="00652829" w:rsidP="00331604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sz w:val="20"/>
              </w:rPr>
              <w:t>稽核報告、工作底稿及相關資料，應至少保存五年。作成稽核報告，定期追蹤至改善為止。</w:t>
            </w: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52829" w:rsidRPr="00C32441" w:rsidRDefault="00652829" w:rsidP="00331604">
            <w:pPr>
              <w:pStyle w:val="HTML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C32441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將學校稽核報告及追蹤報告送校長核閱，並將副本交付各監察人查閱。</w:t>
            </w:r>
          </w:p>
          <w:p w:rsidR="00652829" w:rsidRPr="00C32441" w:rsidRDefault="00652829" w:rsidP="00331604">
            <w:pPr>
              <w:pStyle w:val="HTML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  <w:p w:rsidR="00652829" w:rsidRPr="00C32441" w:rsidRDefault="00652829" w:rsidP="003316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2"/>
              </w:rPr>
            </w:pPr>
          </w:p>
        </w:tc>
      </w:tr>
    </w:tbl>
    <w:p w:rsidR="00D95B85" w:rsidRPr="00C32441" w:rsidRDefault="00D95B85" w:rsidP="00331604">
      <w:pPr>
        <w:autoSpaceDE w:val="0"/>
        <w:autoSpaceDN w:val="0"/>
        <w:spacing w:line="240" w:lineRule="auto"/>
        <w:ind w:left="397" w:right="28" w:hanging="397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D95B85" w:rsidRPr="00C32441" w:rsidRDefault="00D95B85" w:rsidP="00331604">
      <w:pPr>
        <w:autoSpaceDE w:val="0"/>
        <w:autoSpaceDN w:val="0"/>
        <w:spacing w:line="240" w:lineRule="auto"/>
        <w:ind w:left="397" w:right="28" w:hanging="397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C32441" w:rsidRDefault="00C32441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Cs w:val="24"/>
        </w:rPr>
        <w:br w:type="page"/>
      </w:r>
    </w:p>
    <w:p w:rsidR="00652829" w:rsidRPr="00C32441" w:rsidRDefault="00652829" w:rsidP="00331604">
      <w:pPr>
        <w:autoSpaceDE w:val="0"/>
        <w:autoSpaceDN w:val="0"/>
        <w:spacing w:line="240" w:lineRule="auto"/>
        <w:ind w:left="397" w:right="28" w:hanging="397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C32441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2.</w:t>
      </w:r>
      <w:r w:rsidR="00517E51" w:rsidRPr="00C3244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C32441">
        <w:rPr>
          <w:rFonts w:ascii="標楷體" w:eastAsia="標楷體" w:hAnsi="標楷體" w:hint="eastAsia"/>
          <w:b/>
          <w:color w:val="000000" w:themeColor="text1"/>
          <w:szCs w:val="24"/>
        </w:rPr>
        <w:t>作業程序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2.1.內部稽核之組織：</w:t>
      </w:r>
    </w:p>
    <w:p w:rsidR="00652829" w:rsidRPr="00C32441" w:rsidRDefault="00652829" w:rsidP="006E44D3">
      <w:pPr>
        <w:pStyle w:val="a7"/>
        <w:tabs>
          <w:tab w:val="clear" w:pos="960"/>
          <w:tab w:val="num" w:pos="1680"/>
        </w:tabs>
        <w:ind w:leftChars="0" w:left="397" w:firstLine="56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2.1.1.依本校規模、業務情況、管理需要及其他有關法令之規定，設置稽核室，為直屬校長之一級單位。</w:t>
      </w:r>
    </w:p>
    <w:p w:rsidR="00652829" w:rsidRPr="00C32441" w:rsidRDefault="00652829" w:rsidP="006E44D3">
      <w:pPr>
        <w:pStyle w:val="a7"/>
        <w:tabs>
          <w:tab w:val="clear" w:pos="960"/>
          <w:tab w:val="num" w:pos="1680"/>
        </w:tabs>
        <w:ind w:leftChars="400" w:left="1697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2.1.2.稽核人員：稽核室置主任一人，由校長遴選相當職級教師或職員專</w:t>
      </w:r>
      <w:r w:rsidRPr="00C32441">
        <w:rPr>
          <w:rFonts w:hAnsi="標楷體"/>
          <w:color w:val="000000" w:themeColor="text1"/>
          <w:sz w:val="24"/>
        </w:rPr>
        <w:t>(</w:t>
      </w:r>
      <w:r w:rsidRPr="00C32441">
        <w:rPr>
          <w:rFonts w:hAnsi="標楷體" w:hint="eastAsia"/>
          <w:color w:val="000000" w:themeColor="text1"/>
          <w:sz w:val="24"/>
        </w:rPr>
        <w:t>兼</w:t>
      </w:r>
      <w:r w:rsidRPr="00C32441">
        <w:rPr>
          <w:rFonts w:hAnsi="標楷體"/>
          <w:color w:val="000000" w:themeColor="text1"/>
          <w:sz w:val="24"/>
        </w:rPr>
        <w:t>)</w:t>
      </w:r>
      <w:r w:rsidRPr="00C32441">
        <w:rPr>
          <w:rFonts w:hAnsi="標楷體" w:hint="eastAsia"/>
          <w:color w:val="000000" w:themeColor="text1"/>
          <w:sz w:val="24"/>
        </w:rPr>
        <w:t>任，綜理本室業務，</w:t>
      </w:r>
      <w:r w:rsidR="00F72FA1" w:rsidRPr="00C32441">
        <w:rPr>
          <w:rFonts w:hAnsi="標楷體" w:hint="eastAsia"/>
          <w:color w:val="000000" w:themeColor="text1"/>
          <w:sz w:val="24"/>
        </w:rPr>
        <w:t>必要時得置組長、秘書，職員若干人</w:t>
      </w:r>
      <w:r w:rsidRPr="00C32441">
        <w:rPr>
          <w:rFonts w:hAnsi="標楷體" w:hint="eastAsia"/>
          <w:color w:val="000000" w:themeColor="text1"/>
          <w:sz w:val="24"/>
        </w:rPr>
        <w:t>，負責業務為常態性之業務，需辦理各項內部控制制度稽核業務，每學期辦理稽核工作，擬訂稽核計畫、選任內部稽核小組，依時程及計畫內容進行稽核，辦理內部稽核小組訓練課程等工作，主導並實地進行各項稽核業務。</w:t>
      </w:r>
    </w:p>
    <w:p w:rsidR="00652829" w:rsidRPr="00C32441" w:rsidRDefault="00652829" w:rsidP="006E44D3">
      <w:pPr>
        <w:pStyle w:val="a7"/>
        <w:tabs>
          <w:tab w:val="clear" w:pos="960"/>
          <w:tab w:val="num" w:pos="1680"/>
        </w:tabs>
        <w:ind w:leftChars="400" w:left="1697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2.1.3.內部稽核小組：內部稽核小組可分成財務跟業務兩小組，由稽核室主任選任，簽請校長核准後兼任之。其稽核工作由稽核人員帶領進行。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2.2.稽核人員之職權：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2.2.1.本校之人事事項、財務事項、營運事項及關係人交易之事後查核。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2.2.2.本校現金出納處理之事後查核。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2.2.3.本校現金、銀行存款及有價證券之盤點。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2.2.4.本校財務上增進效率與減少不經濟支出之查核及建議。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2.2.5.本校之專案稽核事項。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2.3.稽核人員之職責：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2.3.1.本校</w:t>
      </w:r>
      <w:r w:rsidRPr="00C32441">
        <w:rPr>
          <w:rFonts w:hAnsi="標楷體"/>
          <w:color w:val="000000" w:themeColor="text1"/>
          <w:sz w:val="24"/>
        </w:rPr>
        <w:t>稽核</w:t>
      </w:r>
      <w:r w:rsidRPr="00C32441">
        <w:rPr>
          <w:rFonts w:hAnsi="標楷體" w:hint="eastAsia"/>
          <w:color w:val="000000" w:themeColor="text1"/>
          <w:sz w:val="24"/>
        </w:rPr>
        <w:t>人員</w:t>
      </w:r>
      <w:r w:rsidRPr="00C32441">
        <w:rPr>
          <w:rFonts w:hAnsi="標楷體"/>
          <w:color w:val="000000" w:themeColor="text1"/>
          <w:sz w:val="24"/>
        </w:rPr>
        <w:t>應依風險評估結果</w:t>
      </w:r>
      <w:r w:rsidRPr="00C32441">
        <w:rPr>
          <w:rFonts w:hAnsi="標楷體" w:hint="eastAsia"/>
          <w:color w:val="000000" w:themeColor="text1"/>
          <w:sz w:val="24"/>
        </w:rPr>
        <w:t>，</w:t>
      </w:r>
      <w:r w:rsidRPr="00C32441">
        <w:rPr>
          <w:rFonts w:hAnsi="標楷體"/>
          <w:color w:val="000000" w:themeColor="text1"/>
          <w:sz w:val="24"/>
        </w:rPr>
        <w:t>擬訂稽核計畫，據以</w:t>
      </w:r>
      <w:r w:rsidRPr="00C32441">
        <w:rPr>
          <w:rFonts w:hAnsi="標楷體" w:hint="eastAsia"/>
          <w:color w:val="000000" w:themeColor="text1"/>
          <w:sz w:val="24"/>
        </w:rPr>
        <w:t>稽核本校</w:t>
      </w:r>
      <w:r w:rsidRPr="00C32441">
        <w:rPr>
          <w:rFonts w:hAnsi="標楷體"/>
          <w:color w:val="000000" w:themeColor="text1"/>
          <w:sz w:val="24"/>
        </w:rPr>
        <w:t>之內部控制。</w:t>
      </w:r>
      <w:r w:rsidRPr="00C32441">
        <w:rPr>
          <w:rFonts w:hAnsi="標楷體" w:hint="eastAsia"/>
          <w:color w:val="000000" w:themeColor="text1"/>
          <w:sz w:val="24"/>
        </w:rPr>
        <w:t>學校</w:t>
      </w:r>
      <w:r w:rsidRPr="00C32441">
        <w:rPr>
          <w:rFonts w:hAnsi="標楷體"/>
          <w:color w:val="000000" w:themeColor="text1"/>
          <w:sz w:val="24"/>
        </w:rPr>
        <w:t>稽核計畫應經</w:t>
      </w:r>
      <w:r w:rsidRPr="00C32441">
        <w:rPr>
          <w:rFonts w:hAnsi="標楷體" w:hint="eastAsia"/>
          <w:color w:val="000000" w:themeColor="text1"/>
          <w:sz w:val="24"/>
        </w:rPr>
        <w:t>校長核定</w:t>
      </w:r>
      <w:r w:rsidRPr="00C32441">
        <w:rPr>
          <w:rFonts w:hAnsi="標楷體"/>
          <w:color w:val="000000" w:themeColor="text1"/>
          <w:sz w:val="24"/>
        </w:rPr>
        <w:t>；修正時，亦同。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2.3.2.本校</w:t>
      </w:r>
      <w:r w:rsidRPr="00C32441">
        <w:rPr>
          <w:rFonts w:hAnsi="標楷體"/>
          <w:color w:val="000000" w:themeColor="text1"/>
          <w:sz w:val="24"/>
        </w:rPr>
        <w:t>稽核</w:t>
      </w:r>
      <w:r w:rsidRPr="00C32441">
        <w:rPr>
          <w:rFonts w:hAnsi="標楷體" w:hint="eastAsia"/>
          <w:color w:val="000000" w:themeColor="text1"/>
          <w:sz w:val="24"/>
        </w:rPr>
        <w:t>人員</w:t>
      </w:r>
      <w:r w:rsidRPr="00C32441">
        <w:rPr>
          <w:rFonts w:hAnsi="標楷體"/>
          <w:color w:val="000000" w:themeColor="text1"/>
          <w:sz w:val="24"/>
        </w:rPr>
        <w:t>於</w:t>
      </w:r>
      <w:r w:rsidRPr="00C32441">
        <w:rPr>
          <w:rFonts w:hAnsi="標楷體" w:hint="eastAsia"/>
          <w:color w:val="000000" w:themeColor="text1"/>
          <w:sz w:val="24"/>
        </w:rPr>
        <w:t>稽核時</w:t>
      </w:r>
      <w:r w:rsidRPr="00C32441">
        <w:rPr>
          <w:rFonts w:hAnsi="標楷體"/>
          <w:color w:val="000000" w:themeColor="text1"/>
          <w:sz w:val="24"/>
        </w:rPr>
        <w:t>所發現之</w:t>
      </w:r>
      <w:r w:rsidRPr="00C32441">
        <w:rPr>
          <w:rFonts w:hAnsi="標楷體" w:hint="eastAsia"/>
          <w:color w:val="000000" w:themeColor="text1"/>
          <w:sz w:val="24"/>
        </w:rPr>
        <w:t>內部控制制度</w:t>
      </w:r>
      <w:r w:rsidRPr="00C32441">
        <w:rPr>
          <w:rFonts w:hAnsi="標楷體"/>
          <w:color w:val="000000" w:themeColor="text1"/>
          <w:sz w:val="24"/>
        </w:rPr>
        <w:t>缺失</w:t>
      </w:r>
      <w:r w:rsidRPr="00C32441">
        <w:rPr>
          <w:rFonts w:hAnsi="標楷體" w:hint="eastAsia"/>
          <w:color w:val="000000" w:themeColor="text1"/>
          <w:sz w:val="24"/>
        </w:rPr>
        <w:t>、</w:t>
      </w:r>
      <w:r w:rsidRPr="00C32441">
        <w:rPr>
          <w:rFonts w:hAnsi="標楷體"/>
          <w:color w:val="000000" w:themeColor="text1"/>
          <w:sz w:val="24"/>
        </w:rPr>
        <w:t>異常事項</w:t>
      </w:r>
      <w:r w:rsidRPr="00C32441">
        <w:rPr>
          <w:rFonts w:hAnsi="標楷體" w:hint="eastAsia"/>
          <w:color w:val="000000" w:themeColor="text1"/>
          <w:sz w:val="24"/>
        </w:rPr>
        <w:t>及其他缺失事項</w:t>
      </w:r>
      <w:r w:rsidRPr="00C32441">
        <w:rPr>
          <w:rFonts w:hAnsi="標楷體"/>
          <w:color w:val="000000" w:themeColor="text1"/>
          <w:sz w:val="24"/>
        </w:rPr>
        <w:t>，應</w:t>
      </w:r>
      <w:r w:rsidRPr="00C32441">
        <w:rPr>
          <w:rFonts w:hAnsi="標楷體" w:hint="eastAsia"/>
          <w:color w:val="000000" w:themeColor="text1"/>
          <w:sz w:val="24"/>
        </w:rPr>
        <w:t>於年度稽核報告中據實揭露，</w:t>
      </w:r>
      <w:r w:rsidRPr="00C32441">
        <w:rPr>
          <w:rFonts w:hAnsi="標楷體"/>
          <w:color w:val="000000" w:themeColor="text1"/>
          <w:sz w:val="24"/>
        </w:rPr>
        <w:t>並檢附工作底稿及相關資料</w:t>
      </w:r>
      <w:r w:rsidRPr="00C32441">
        <w:rPr>
          <w:rFonts w:hAnsi="標楷體" w:hint="eastAsia"/>
          <w:color w:val="000000" w:themeColor="text1"/>
          <w:sz w:val="24"/>
        </w:rPr>
        <w:t>，</w:t>
      </w:r>
      <w:r w:rsidRPr="00C32441">
        <w:rPr>
          <w:rFonts w:hAnsi="標楷體"/>
          <w:color w:val="000000" w:themeColor="text1"/>
          <w:sz w:val="24"/>
        </w:rPr>
        <w:t>作成稽核報告</w:t>
      </w:r>
      <w:r w:rsidRPr="00C32441">
        <w:rPr>
          <w:rFonts w:hAnsi="標楷體" w:hint="eastAsia"/>
          <w:color w:val="000000" w:themeColor="text1"/>
          <w:sz w:val="24"/>
        </w:rPr>
        <w:t>，定期追蹤至改善為止。</w:t>
      </w:r>
      <w:r w:rsidRPr="00C32441">
        <w:rPr>
          <w:rFonts w:hAnsi="標楷體"/>
          <w:color w:val="000000" w:themeColor="text1"/>
          <w:sz w:val="24"/>
        </w:rPr>
        <w:t>稽核報告、工作底稿及相關資料</w:t>
      </w:r>
      <w:r w:rsidRPr="00C32441">
        <w:rPr>
          <w:rFonts w:hAnsi="標楷體" w:hint="eastAsia"/>
          <w:color w:val="000000" w:themeColor="text1"/>
          <w:sz w:val="24"/>
        </w:rPr>
        <w:t>，</w:t>
      </w:r>
      <w:r w:rsidRPr="00C32441">
        <w:rPr>
          <w:rFonts w:hAnsi="標楷體"/>
          <w:color w:val="000000" w:themeColor="text1"/>
          <w:sz w:val="24"/>
        </w:rPr>
        <w:t>應至少保存五年</w:t>
      </w:r>
      <w:r w:rsidRPr="00C32441">
        <w:rPr>
          <w:rFonts w:hAnsi="標楷體" w:hint="eastAsia"/>
          <w:color w:val="000000" w:themeColor="text1"/>
          <w:sz w:val="24"/>
        </w:rPr>
        <w:t>。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2.3.3.其他缺失事項</w:t>
      </w:r>
      <w:r w:rsidRPr="00C32441">
        <w:rPr>
          <w:rFonts w:hAnsi="標楷體"/>
          <w:color w:val="000000" w:themeColor="text1"/>
          <w:sz w:val="24"/>
        </w:rPr>
        <w:t>，應包括</w:t>
      </w:r>
      <w:r w:rsidRPr="00C32441">
        <w:rPr>
          <w:rFonts w:hAnsi="標楷體" w:hint="eastAsia"/>
          <w:color w:val="000000" w:themeColor="text1"/>
          <w:sz w:val="24"/>
        </w:rPr>
        <w:t>如下：</w:t>
      </w:r>
    </w:p>
    <w:p w:rsidR="00652829" w:rsidRPr="00C32441" w:rsidRDefault="00652829" w:rsidP="00331604">
      <w:pPr>
        <w:pStyle w:val="a7"/>
        <w:tabs>
          <w:tab w:val="clear" w:pos="960"/>
        </w:tabs>
        <w:ind w:leftChars="759" w:left="2722" w:hangingChars="375" w:hanging="900"/>
        <w:jc w:val="both"/>
        <w:rPr>
          <w:rFonts w:hAnsi="標楷體" w:cs="新細明體"/>
          <w:color w:val="000000" w:themeColor="text1"/>
          <w:sz w:val="24"/>
          <w:szCs w:val="24"/>
        </w:rPr>
      </w:pPr>
      <w:r w:rsidRPr="00C32441">
        <w:rPr>
          <w:rFonts w:hAnsi="標楷體" w:cs="新細明體" w:hint="eastAsia"/>
          <w:color w:val="000000" w:themeColor="text1"/>
          <w:sz w:val="24"/>
          <w:szCs w:val="24"/>
        </w:rPr>
        <w:t>2.3.3.1.政府機關</w:t>
      </w:r>
      <w:r w:rsidRPr="00C32441">
        <w:rPr>
          <w:rFonts w:hAnsi="標楷體" w:cs="新細明體"/>
          <w:color w:val="000000" w:themeColor="text1"/>
          <w:sz w:val="24"/>
          <w:szCs w:val="24"/>
        </w:rPr>
        <w:t>檢查所發現</w:t>
      </w:r>
      <w:r w:rsidRPr="00C32441">
        <w:rPr>
          <w:rFonts w:hAnsi="標楷體" w:cs="新細明體" w:hint="eastAsia"/>
          <w:color w:val="000000" w:themeColor="text1"/>
          <w:sz w:val="24"/>
          <w:szCs w:val="24"/>
        </w:rPr>
        <w:t>之缺失。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759" w:left="2722" w:hangingChars="375" w:hanging="900"/>
        <w:jc w:val="both"/>
        <w:rPr>
          <w:rFonts w:hAnsi="標楷體" w:cs="新細明體"/>
          <w:color w:val="000000" w:themeColor="text1"/>
          <w:sz w:val="24"/>
          <w:szCs w:val="24"/>
        </w:rPr>
      </w:pPr>
      <w:r w:rsidRPr="00C32441">
        <w:rPr>
          <w:rFonts w:hAnsi="標楷體" w:cs="新細明體" w:hint="eastAsia"/>
          <w:color w:val="000000" w:themeColor="text1"/>
          <w:sz w:val="24"/>
          <w:szCs w:val="24"/>
        </w:rPr>
        <w:t>2.3.3.2.財務簽證會計師查核時，本校提供本</w:t>
      </w:r>
      <w:r w:rsidRPr="00C32441">
        <w:rPr>
          <w:rFonts w:hAnsi="標楷體" w:cs="新細明體"/>
          <w:color w:val="000000" w:themeColor="text1"/>
          <w:sz w:val="24"/>
          <w:szCs w:val="24"/>
        </w:rPr>
        <w:t>制度聲明書所列</w:t>
      </w:r>
      <w:r w:rsidRPr="00C32441">
        <w:rPr>
          <w:rFonts w:hAnsi="標楷體" w:cs="新細明體" w:hint="eastAsia"/>
          <w:color w:val="000000" w:themeColor="text1"/>
          <w:sz w:val="24"/>
          <w:szCs w:val="24"/>
        </w:rPr>
        <w:t>之缺失。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759" w:left="2722" w:hangingChars="375" w:hanging="900"/>
        <w:jc w:val="both"/>
        <w:rPr>
          <w:rFonts w:hAnsi="標楷體" w:cs="新細明體"/>
          <w:color w:val="000000" w:themeColor="text1"/>
          <w:sz w:val="24"/>
          <w:szCs w:val="24"/>
        </w:rPr>
      </w:pPr>
      <w:r w:rsidRPr="00C32441">
        <w:rPr>
          <w:rFonts w:hAnsi="標楷體" w:cs="新細明體" w:hint="eastAsia"/>
          <w:color w:val="000000" w:themeColor="text1"/>
          <w:sz w:val="24"/>
          <w:szCs w:val="24"/>
        </w:rPr>
        <w:t>2.3.3.3.</w:t>
      </w:r>
      <w:r w:rsidRPr="00C32441">
        <w:rPr>
          <w:rFonts w:hAnsi="標楷體" w:cs="新細明體"/>
          <w:color w:val="000000" w:themeColor="text1"/>
          <w:sz w:val="24"/>
          <w:szCs w:val="24"/>
        </w:rPr>
        <w:t>會計師</w:t>
      </w:r>
      <w:r w:rsidRPr="00C32441">
        <w:rPr>
          <w:rFonts w:hAnsi="標楷體" w:cs="新細明體" w:hint="eastAsia"/>
          <w:color w:val="000000" w:themeColor="text1"/>
          <w:sz w:val="24"/>
          <w:szCs w:val="24"/>
        </w:rPr>
        <w:t>於財務查核簽證或</w:t>
      </w:r>
      <w:r w:rsidRPr="00C32441">
        <w:rPr>
          <w:rFonts w:hAnsi="標楷體" w:cs="新細明體"/>
          <w:color w:val="000000" w:themeColor="text1"/>
          <w:sz w:val="24"/>
          <w:szCs w:val="24"/>
        </w:rPr>
        <w:t>專案查</w:t>
      </w:r>
      <w:r w:rsidRPr="00C32441">
        <w:rPr>
          <w:rFonts w:hAnsi="標楷體" w:cs="新細明體" w:hint="eastAsia"/>
          <w:color w:val="000000" w:themeColor="text1"/>
          <w:sz w:val="24"/>
          <w:szCs w:val="24"/>
        </w:rPr>
        <w:t>核</w:t>
      </w:r>
      <w:r w:rsidRPr="00C32441">
        <w:rPr>
          <w:rFonts w:hAnsi="標楷體" w:cs="新細明體"/>
          <w:color w:val="000000" w:themeColor="text1"/>
          <w:sz w:val="24"/>
          <w:szCs w:val="24"/>
        </w:rPr>
        <w:t>所發現之缺失。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759" w:left="2722" w:hangingChars="375" w:hanging="900"/>
        <w:jc w:val="both"/>
        <w:rPr>
          <w:rFonts w:hAnsi="標楷體" w:cs="新細明體"/>
          <w:color w:val="000000" w:themeColor="text1"/>
          <w:sz w:val="24"/>
          <w:szCs w:val="24"/>
        </w:rPr>
      </w:pPr>
      <w:r w:rsidRPr="00C32441">
        <w:rPr>
          <w:rFonts w:hAnsi="標楷體" w:cs="新細明體" w:hint="eastAsia"/>
          <w:color w:val="000000" w:themeColor="text1"/>
          <w:sz w:val="24"/>
          <w:szCs w:val="24"/>
        </w:rPr>
        <w:t>2.3.3.4.其他缺失。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2.3.4.本</w:t>
      </w:r>
      <w:r w:rsidRPr="00C32441">
        <w:rPr>
          <w:rFonts w:hAnsi="標楷體"/>
          <w:color w:val="000000" w:themeColor="text1"/>
          <w:sz w:val="24"/>
        </w:rPr>
        <w:t>校稽核人員應將</w:t>
      </w:r>
      <w:r w:rsidRPr="00C32441">
        <w:rPr>
          <w:rFonts w:hAnsi="標楷體" w:hint="eastAsia"/>
          <w:color w:val="000000" w:themeColor="text1"/>
          <w:sz w:val="24"/>
        </w:rPr>
        <w:t>本</w:t>
      </w:r>
      <w:r w:rsidRPr="00C32441">
        <w:rPr>
          <w:rFonts w:hAnsi="標楷體"/>
          <w:color w:val="000000" w:themeColor="text1"/>
          <w:sz w:val="24"/>
        </w:rPr>
        <w:t>校稽核報告及追蹤報告送校長核閱；並將副本交付各監察人查閱。但如發現重大違規情事，對學校法人或</w:t>
      </w:r>
      <w:r w:rsidRPr="00C32441">
        <w:rPr>
          <w:rFonts w:hAnsi="標楷體" w:hint="eastAsia"/>
          <w:color w:val="000000" w:themeColor="text1"/>
          <w:sz w:val="24"/>
        </w:rPr>
        <w:t>本校</w:t>
      </w:r>
      <w:r w:rsidRPr="00C32441">
        <w:rPr>
          <w:rFonts w:hAnsi="標楷體"/>
          <w:color w:val="000000" w:themeColor="text1"/>
          <w:sz w:val="24"/>
        </w:rPr>
        <w:t>有受重大損害之虞時，應立即作成稽核報告陳送校長核閱，校長接獲報告後，應立即送董事會，並將副本交付各監察人查閱。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2.3.5.本校之稽核人員稽核時，得請本校之行政人員，提供有關帳冊、憑證、文件及其他稽核所須之資料。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2.4.內部稽核方式及方法：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2.4.1.稽核人員應於評估本校作業週期及風險後，擬定包含稽核目的、稽核項目、稽核對象、實施期程、稽核方法、作業程序、稽核重點及稽核結果等之稽核</w:t>
      </w:r>
      <w:r w:rsidRPr="00C32441">
        <w:rPr>
          <w:rFonts w:hAnsi="標楷體" w:hint="eastAsia"/>
          <w:color w:val="000000" w:themeColor="text1"/>
          <w:sz w:val="24"/>
        </w:rPr>
        <w:lastRenderedPageBreak/>
        <w:t>計畫，依照所排訂之稽核項目，訂定作業程序及稽核重點，稽核時並得依情況適時調整。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2.4.2.稽核單位依專業領域之考量，得聘請校內外專家擔任協同稽核人員，以提升內部稽核之實質成效。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2.4.3.本校稽核種類，視情況得分為計畫性稽核及專案性稽核。</w:t>
      </w:r>
    </w:p>
    <w:p w:rsidR="00652829" w:rsidRPr="00C32441" w:rsidRDefault="00652829" w:rsidP="00331604">
      <w:pPr>
        <w:pStyle w:val="a7"/>
        <w:tabs>
          <w:tab w:val="clear" w:pos="960"/>
          <w:tab w:val="num" w:pos="1680"/>
        </w:tabs>
        <w:ind w:leftChars="428" w:left="1764" w:right="0" w:hangingChars="307" w:hanging="737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2.4.4.稽核程序如下：</w:t>
      </w:r>
    </w:p>
    <w:p w:rsidR="00652829" w:rsidRPr="00C32441" w:rsidRDefault="00652829" w:rsidP="00331604">
      <w:pPr>
        <w:pStyle w:val="a7"/>
        <w:tabs>
          <w:tab w:val="clear" w:pos="960"/>
        </w:tabs>
        <w:ind w:leftChars="759" w:left="2722" w:hangingChars="375" w:hanging="900"/>
        <w:jc w:val="both"/>
        <w:rPr>
          <w:rFonts w:hAnsi="標楷體" w:cs="新細明體"/>
          <w:color w:val="000000" w:themeColor="text1"/>
          <w:sz w:val="24"/>
          <w:szCs w:val="24"/>
        </w:rPr>
      </w:pPr>
      <w:r w:rsidRPr="00C32441">
        <w:rPr>
          <w:rFonts w:hAnsi="標楷體" w:cs="新細明體" w:hint="eastAsia"/>
          <w:color w:val="000000" w:themeColor="text1"/>
          <w:sz w:val="24"/>
          <w:szCs w:val="24"/>
        </w:rPr>
        <w:t>2.4.4.1.確定稽核之目的及範圍，區分為計畫性稽核或專案性稽核。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759" w:left="2722" w:hangingChars="375" w:hanging="900"/>
        <w:jc w:val="both"/>
        <w:rPr>
          <w:rFonts w:hAnsi="標楷體" w:cs="新細明體"/>
          <w:color w:val="000000" w:themeColor="text1"/>
          <w:sz w:val="24"/>
          <w:szCs w:val="24"/>
        </w:rPr>
      </w:pPr>
      <w:r w:rsidRPr="00C32441">
        <w:rPr>
          <w:rFonts w:hAnsi="標楷體" w:cs="新細明體" w:hint="eastAsia"/>
          <w:color w:val="000000" w:themeColor="text1"/>
          <w:sz w:val="24"/>
          <w:szCs w:val="24"/>
        </w:rPr>
        <w:t>2.4.4.2.稽核工作準備：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2.4.4.2.</w:t>
      </w:r>
      <w:r w:rsidR="00605AB8" w:rsidRPr="00C32441">
        <w:rPr>
          <w:rFonts w:hAnsi="標楷體" w:hint="eastAsia"/>
          <w:color w:val="000000" w:themeColor="text1"/>
          <w:sz w:val="24"/>
        </w:rPr>
        <w:t>1</w:t>
      </w:r>
      <w:r w:rsidRPr="00C32441">
        <w:rPr>
          <w:rFonts w:hAnsi="標楷體" w:hint="eastAsia"/>
          <w:color w:val="000000" w:themeColor="text1"/>
          <w:sz w:val="24"/>
        </w:rPr>
        <w:t>.</w:t>
      </w:r>
      <w:r w:rsidR="009A1E48" w:rsidRPr="00C32441">
        <w:rPr>
          <w:rFonts w:hAnsi="標楷體" w:hint="eastAsia"/>
          <w:color w:val="000000" w:themeColor="text1"/>
          <w:sz w:val="24"/>
        </w:rPr>
        <w:t>稽核人員</w:t>
      </w:r>
      <w:r w:rsidRPr="00C32441">
        <w:rPr>
          <w:rFonts w:hAnsi="標楷體" w:hint="eastAsia"/>
          <w:color w:val="000000" w:themeColor="text1"/>
          <w:sz w:val="24"/>
        </w:rPr>
        <w:t>撰寫稽核程式，並經稽核</w:t>
      </w:r>
      <w:r w:rsidR="009A1E48" w:rsidRPr="00C32441">
        <w:rPr>
          <w:rFonts w:hAnsi="標楷體" w:hint="eastAsia"/>
          <w:color w:val="000000" w:themeColor="text1"/>
          <w:sz w:val="24"/>
        </w:rPr>
        <w:t>室</w:t>
      </w:r>
      <w:r w:rsidRPr="00C32441">
        <w:rPr>
          <w:rFonts w:hAnsi="標楷體" w:hint="eastAsia"/>
          <w:color w:val="000000" w:themeColor="text1"/>
          <w:sz w:val="24"/>
        </w:rPr>
        <w:t>主</w:t>
      </w:r>
      <w:r w:rsidR="009A1E48" w:rsidRPr="00C32441">
        <w:rPr>
          <w:rFonts w:hAnsi="標楷體" w:hint="eastAsia"/>
          <w:color w:val="000000" w:themeColor="text1"/>
          <w:sz w:val="24"/>
        </w:rPr>
        <w:t>任</w:t>
      </w:r>
      <w:r w:rsidRPr="00C32441">
        <w:rPr>
          <w:rFonts w:hAnsi="標楷體" w:hint="eastAsia"/>
          <w:color w:val="000000" w:themeColor="text1"/>
          <w:sz w:val="24"/>
        </w:rPr>
        <w:t>同意。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2.4.4.2.</w:t>
      </w:r>
      <w:r w:rsidR="00605AB8" w:rsidRPr="00C32441">
        <w:rPr>
          <w:rFonts w:hAnsi="標楷體" w:hint="eastAsia"/>
          <w:color w:val="000000" w:themeColor="text1"/>
          <w:sz w:val="24"/>
        </w:rPr>
        <w:t>2</w:t>
      </w:r>
      <w:r w:rsidRPr="00C32441">
        <w:rPr>
          <w:rFonts w:hAnsi="標楷體" w:hint="eastAsia"/>
          <w:color w:val="000000" w:themeColor="text1"/>
          <w:sz w:val="24"/>
        </w:rPr>
        <w:t>.</w:t>
      </w:r>
      <w:r w:rsidR="009A1E48" w:rsidRPr="00C32441">
        <w:rPr>
          <w:rFonts w:hAnsi="標楷體" w:hint="eastAsia"/>
          <w:color w:val="000000" w:themeColor="text1"/>
          <w:sz w:val="24"/>
        </w:rPr>
        <w:t>稽核人員</w:t>
      </w:r>
      <w:r w:rsidRPr="00C32441">
        <w:rPr>
          <w:rFonts w:hAnsi="標楷體" w:hint="eastAsia"/>
          <w:color w:val="000000" w:themeColor="text1"/>
          <w:sz w:val="24"/>
        </w:rPr>
        <w:t>應與受稽核單位主管事前溝通，確定稽核時間及相關協調工作。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2.4.4.2.</w:t>
      </w:r>
      <w:r w:rsidR="00605AB8" w:rsidRPr="00C32441">
        <w:rPr>
          <w:rFonts w:hAnsi="標楷體" w:hint="eastAsia"/>
          <w:color w:val="000000" w:themeColor="text1"/>
          <w:sz w:val="24"/>
        </w:rPr>
        <w:t>3</w:t>
      </w:r>
      <w:r w:rsidRPr="00C32441">
        <w:rPr>
          <w:rFonts w:hAnsi="標楷體" w:hint="eastAsia"/>
          <w:color w:val="000000" w:themeColor="text1"/>
          <w:sz w:val="24"/>
        </w:rPr>
        <w:t>.</w:t>
      </w:r>
      <w:r w:rsidR="009A1E48" w:rsidRPr="00C32441">
        <w:rPr>
          <w:rFonts w:hAnsi="標楷體" w:hint="eastAsia"/>
          <w:color w:val="000000" w:themeColor="text1"/>
          <w:sz w:val="24"/>
        </w:rPr>
        <w:t>稽核人員</w:t>
      </w:r>
      <w:r w:rsidRPr="00C32441">
        <w:rPr>
          <w:rFonts w:hAnsi="標楷體" w:hint="eastAsia"/>
          <w:color w:val="000000" w:themeColor="text1"/>
          <w:sz w:val="24"/>
        </w:rPr>
        <w:t>應於稽核前7日，通知受稽核單位。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759" w:left="2722" w:hangingChars="375" w:hanging="900"/>
        <w:jc w:val="both"/>
        <w:rPr>
          <w:rFonts w:hAnsi="標楷體" w:cs="新細明體"/>
          <w:color w:val="000000" w:themeColor="text1"/>
          <w:sz w:val="24"/>
          <w:szCs w:val="24"/>
        </w:rPr>
      </w:pPr>
      <w:r w:rsidRPr="00C32441">
        <w:rPr>
          <w:rFonts w:hAnsi="標楷體" w:cs="新細明體" w:hint="eastAsia"/>
          <w:color w:val="000000" w:themeColor="text1"/>
          <w:sz w:val="24"/>
          <w:szCs w:val="24"/>
        </w:rPr>
        <w:t>2.4.4.3.稽核工作執行：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2.4.4.3.1.執行稽核時，將稽核過程記錄於工作底稿，作為編製報告之根據。工作底稿包括「內部稽核查檢表」、「內部控制遵循測試表」、「內部稽核事項追蹤紀錄表」。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2.4.4.3.2.執行稽核時，受稽核人員需確實提供相關之資料或回答所詢問之各項問題。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2.4.4.3.3.執行稽核時，若有不符合事項時，應知會該單位主管，以澄清其不符合事項是否存在。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2.4.4.3.4.稽核作業所發現之缺失，稽核人員應記錄在工作底稿。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759" w:left="2722" w:hangingChars="375" w:hanging="900"/>
        <w:jc w:val="both"/>
        <w:rPr>
          <w:rFonts w:hAnsi="標楷體" w:cs="新細明體"/>
          <w:color w:val="000000" w:themeColor="text1"/>
          <w:sz w:val="24"/>
          <w:szCs w:val="24"/>
        </w:rPr>
      </w:pPr>
      <w:r w:rsidRPr="00C32441">
        <w:rPr>
          <w:rFonts w:hAnsi="標楷體" w:cs="新細明體" w:hint="eastAsia"/>
          <w:color w:val="000000" w:themeColor="text1"/>
          <w:sz w:val="24"/>
          <w:szCs w:val="24"/>
        </w:rPr>
        <w:t>2.4.4.4.稽核事後會議：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2.4.4.4.1.稽核人員將工作底稿，陳</w:t>
      </w:r>
      <w:r w:rsidR="009A1E48" w:rsidRPr="00C32441">
        <w:rPr>
          <w:rFonts w:hAnsi="標楷體" w:hint="eastAsia"/>
          <w:color w:val="000000" w:themeColor="text1"/>
          <w:sz w:val="24"/>
        </w:rPr>
        <w:t>稽核室主任</w:t>
      </w:r>
      <w:r w:rsidRPr="00C32441">
        <w:rPr>
          <w:rFonts w:hAnsi="標楷體" w:hint="eastAsia"/>
          <w:color w:val="000000" w:themeColor="text1"/>
          <w:sz w:val="24"/>
        </w:rPr>
        <w:t>審核。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2.4.4.4.2.審定之工作底稿，送各受稽核單位確認。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2.4.4.4.3.</w:t>
      </w:r>
      <w:r w:rsidR="009A1E48" w:rsidRPr="00C32441">
        <w:rPr>
          <w:rFonts w:hAnsi="標楷體" w:hint="eastAsia"/>
          <w:color w:val="000000" w:themeColor="text1"/>
          <w:sz w:val="24"/>
        </w:rPr>
        <w:t>稽核室</w:t>
      </w:r>
      <w:r w:rsidRPr="00C32441">
        <w:rPr>
          <w:rFonts w:hAnsi="標楷體" w:hint="eastAsia"/>
          <w:color w:val="000000" w:themeColor="text1"/>
          <w:sz w:val="24"/>
        </w:rPr>
        <w:t>協調稽核事後會議時間。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2.4.4.4.4.舉行稽核事後會議。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759" w:left="2722" w:hangingChars="375" w:hanging="900"/>
        <w:jc w:val="both"/>
        <w:rPr>
          <w:rFonts w:hAnsi="標楷體" w:cs="新細明體"/>
          <w:color w:val="000000" w:themeColor="text1"/>
          <w:sz w:val="24"/>
          <w:szCs w:val="24"/>
        </w:rPr>
      </w:pPr>
      <w:r w:rsidRPr="00C32441">
        <w:rPr>
          <w:rFonts w:hAnsi="標楷體" w:cs="新細明體" w:hint="eastAsia"/>
          <w:color w:val="000000" w:themeColor="text1"/>
          <w:sz w:val="24"/>
          <w:szCs w:val="24"/>
        </w:rPr>
        <w:t>2.4.4.5.撰寫稽核報告：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2.4.4.5.1.稽核人員依據稽核工作底稿撰寫「稽核報告」。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2.4.4.5.2.「稽核報告」應經</w:t>
      </w:r>
      <w:r w:rsidR="009A1E48" w:rsidRPr="00C32441">
        <w:rPr>
          <w:rFonts w:hAnsi="標楷體" w:hint="eastAsia"/>
          <w:color w:val="000000" w:themeColor="text1"/>
          <w:sz w:val="24"/>
        </w:rPr>
        <w:t>稽核室主任</w:t>
      </w:r>
      <w:r w:rsidRPr="00C32441">
        <w:rPr>
          <w:rFonts w:hAnsi="標楷體" w:hint="eastAsia"/>
          <w:color w:val="000000" w:themeColor="text1"/>
          <w:sz w:val="24"/>
        </w:rPr>
        <w:t>覆核、轉受稽核單位會簽，陳</w:t>
      </w:r>
      <w:r w:rsidRPr="00C32441">
        <w:rPr>
          <w:rFonts w:hAnsi="標楷體"/>
          <w:color w:val="000000" w:themeColor="text1"/>
          <w:sz w:val="24"/>
        </w:rPr>
        <w:t>送校長核閱；並將副本交付各監察人查閱。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759" w:left="2722" w:hangingChars="375" w:hanging="900"/>
        <w:jc w:val="both"/>
        <w:rPr>
          <w:rFonts w:hAnsi="標楷體" w:cs="新細明體"/>
          <w:color w:val="000000" w:themeColor="text1"/>
          <w:sz w:val="24"/>
          <w:szCs w:val="24"/>
        </w:rPr>
      </w:pPr>
      <w:r w:rsidRPr="00C32441">
        <w:rPr>
          <w:rFonts w:hAnsi="標楷體" w:cs="新細明體" w:hint="eastAsia"/>
          <w:color w:val="000000" w:themeColor="text1"/>
          <w:sz w:val="24"/>
          <w:szCs w:val="24"/>
        </w:rPr>
        <w:t>2.4.4.6.稽核追蹤：</w:t>
      </w:r>
    </w:p>
    <w:p w:rsidR="00652829" w:rsidRPr="00C32441" w:rsidRDefault="00652829" w:rsidP="00331604">
      <w:pPr>
        <w:pStyle w:val="a7"/>
        <w:tabs>
          <w:tab w:val="clear" w:pos="960"/>
        </w:tabs>
        <w:ind w:leftChars="1182" w:left="4085" w:hangingChars="520" w:hanging="1248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2.4.4.6.1.稽核人員依受稽核單位所提出之預定完成改善期限進行追蹤查核。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1182" w:left="4085" w:hangingChars="520" w:hanging="1248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2.4.4.6.2.稽核人員依據稽核追蹤工作底稿撰寫「</w:t>
      </w:r>
      <w:r w:rsidRPr="00C32441">
        <w:rPr>
          <w:rFonts w:hAnsi="標楷體"/>
          <w:color w:val="000000" w:themeColor="text1"/>
          <w:sz w:val="24"/>
        </w:rPr>
        <w:t>追蹤</w:t>
      </w:r>
      <w:r w:rsidRPr="00C32441">
        <w:rPr>
          <w:rFonts w:hAnsi="標楷體" w:hint="eastAsia"/>
          <w:color w:val="000000" w:themeColor="text1"/>
          <w:sz w:val="24"/>
        </w:rPr>
        <w:t>報告」。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1182" w:left="4085" w:hangingChars="520" w:hanging="1248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2.4.4.6.3.受稽核單位之改善事項未於改善期限完成或未執行改善者，稽核人員應於「</w:t>
      </w:r>
      <w:r w:rsidRPr="00C32441">
        <w:rPr>
          <w:rFonts w:hAnsi="標楷體"/>
          <w:color w:val="000000" w:themeColor="text1"/>
          <w:sz w:val="24"/>
        </w:rPr>
        <w:t>追蹤</w:t>
      </w:r>
      <w:r w:rsidRPr="00C32441">
        <w:rPr>
          <w:rFonts w:hAnsi="標楷體" w:hint="eastAsia"/>
          <w:color w:val="000000" w:themeColor="text1"/>
          <w:sz w:val="24"/>
        </w:rPr>
        <w:t>報告」中明確記載</w:t>
      </w:r>
      <w:r w:rsidRPr="00C32441">
        <w:rPr>
          <w:rFonts w:hAnsi="標楷體"/>
          <w:color w:val="000000" w:themeColor="text1"/>
          <w:sz w:val="24"/>
        </w:rPr>
        <w:t>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1182" w:left="4085" w:hangingChars="520" w:hanging="1248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2.4.4.6.4.「</w:t>
      </w:r>
      <w:r w:rsidRPr="00C32441">
        <w:rPr>
          <w:rFonts w:hAnsi="標楷體"/>
          <w:color w:val="000000" w:themeColor="text1"/>
          <w:sz w:val="24"/>
        </w:rPr>
        <w:t>追蹤</w:t>
      </w:r>
      <w:r w:rsidRPr="00C32441">
        <w:rPr>
          <w:rFonts w:hAnsi="標楷體" w:hint="eastAsia"/>
          <w:color w:val="000000" w:themeColor="text1"/>
          <w:sz w:val="24"/>
        </w:rPr>
        <w:t>報告」應經</w:t>
      </w:r>
      <w:r w:rsidR="009A1E48" w:rsidRPr="00C32441">
        <w:rPr>
          <w:rFonts w:hAnsi="標楷體" w:hint="eastAsia"/>
          <w:color w:val="000000" w:themeColor="text1"/>
          <w:sz w:val="24"/>
        </w:rPr>
        <w:t>稽核室主任</w:t>
      </w:r>
      <w:r w:rsidRPr="00C32441">
        <w:rPr>
          <w:rFonts w:hAnsi="標楷體" w:hint="eastAsia"/>
          <w:color w:val="000000" w:themeColor="text1"/>
          <w:sz w:val="24"/>
        </w:rPr>
        <w:t>覆核、轉受稽核單位會</w:t>
      </w:r>
      <w:r w:rsidRPr="00C32441">
        <w:rPr>
          <w:rFonts w:hAnsi="標楷體" w:hint="eastAsia"/>
          <w:color w:val="000000" w:themeColor="text1"/>
          <w:sz w:val="24"/>
        </w:rPr>
        <w:lastRenderedPageBreak/>
        <w:t>簽，陳</w:t>
      </w:r>
      <w:r w:rsidRPr="00C32441">
        <w:rPr>
          <w:rFonts w:hAnsi="標楷體"/>
          <w:color w:val="000000" w:themeColor="text1"/>
          <w:sz w:val="24"/>
        </w:rPr>
        <w:t>送校長核閱；並將副本交付各監察人查閱。</w:t>
      </w:r>
    </w:p>
    <w:p w:rsidR="00652829" w:rsidRPr="00C32441" w:rsidRDefault="00652829" w:rsidP="00331604">
      <w:pPr>
        <w:pStyle w:val="a7"/>
        <w:tabs>
          <w:tab w:val="clear" w:pos="960"/>
        </w:tabs>
        <w:kinsoku w:val="0"/>
        <w:overflowPunct w:val="0"/>
        <w:topLinePunct/>
        <w:autoSpaceDN/>
        <w:ind w:leftChars="1182" w:left="4037" w:hangingChars="500" w:hanging="120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2.4.4.6.5.改善事項未於改善期限完成或未執行改善追蹤事項者，應依本校相關獎勵懲處辦法處理，並列入下次稽核重點。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1182" w:left="4085" w:hangingChars="520" w:hanging="1248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2.4.4.6.6.與經費有關之事項，得提報至相關會議討論。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165" w:left="1025" w:hangingChars="262" w:hanging="629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2.5.獎勵懲處：為有效提升本校實施治理成效，稽核報告結果及缺失改善情形，列入本校績效考核參考。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3918" w:hanging="1202"/>
        <w:jc w:val="both"/>
        <w:rPr>
          <w:rFonts w:hAnsi="標楷體"/>
          <w:color w:val="000000" w:themeColor="text1"/>
          <w:sz w:val="24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left="397" w:right="28" w:hanging="39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C32441">
        <w:rPr>
          <w:rFonts w:ascii="標楷體" w:eastAsia="標楷體" w:hAnsi="標楷體" w:hint="eastAsia"/>
          <w:b/>
          <w:color w:val="000000" w:themeColor="text1"/>
          <w:szCs w:val="24"/>
        </w:rPr>
        <w:t>3.</w:t>
      </w:r>
      <w:r w:rsidR="00517E51" w:rsidRPr="00C3244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C32441">
        <w:rPr>
          <w:rFonts w:ascii="標楷體" w:eastAsia="標楷體" w:hAnsi="標楷體" w:hint="eastAsia"/>
          <w:b/>
          <w:color w:val="000000" w:themeColor="text1"/>
          <w:szCs w:val="24"/>
        </w:rPr>
        <w:t>控制重點：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3.1.學校</w:t>
      </w:r>
      <w:r w:rsidRPr="00C32441">
        <w:rPr>
          <w:rFonts w:hAnsi="標楷體"/>
          <w:color w:val="000000" w:themeColor="text1"/>
          <w:sz w:val="24"/>
        </w:rPr>
        <w:t>稽核計畫</w:t>
      </w:r>
      <w:r w:rsidRPr="00C32441">
        <w:rPr>
          <w:rFonts w:hAnsi="標楷體" w:hint="eastAsia"/>
          <w:color w:val="000000" w:themeColor="text1"/>
          <w:sz w:val="24"/>
        </w:rPr>
        <w:t>之擬定與修正是否</w:t>
      </w:r>
      <w:r w:rsidRPr="00C32441">
        <w:rPr>
          <w:rFonts w:hAnsi="標楷體"/>
          <w:color w:val="000000" w:themeColor="text1"/>
          <w:sz w:val="24"/>
        </w:rPr>
        <w:t>經</w:t>
      </w:r>
      <w:r w:rsidRPr="00C32441">
        <w:rPr>
          <w:rFonts w:hAnsi="標楷體" w:hint="eastAsia"/>
          <w:color w:val="000000" w:themeColor="text1"/>
          <w:sz w:val="24"/>
        </w:rPr>
        <w:t>校長核定</w:t>
      </w:r>
      <w:r w:rsidRPr="00C32441">
        <w:rPr>
          <w:rFonts w:hAnsi="標楷體"/>
          <w:color w:val="000000" w:themeColor="text1"/>
          <w:sz w:val="24"/>
        </w:rPr>
        <w:t>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3.2.稽核通知書是否於稽核前7日，通知受稽核單位。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3.3.稽核報告是否經稽核單位主管覆核、轉受稽核單位會簽，陳</w:t>
      </w:r>
      <w:r w:rsidRPr="00C32441">
        <w:rPr>
          <w:rFonts w:hAnsi="標楷體"/>
          <w:color w:val="000000" w:themeColor="text1"/>
          <w:sz w:val="24"/>
        </w:rPr>
        <w:t>送校長核閱。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3.4.稽核報告</w:t>
      </w:r>
      <w:r w:rsidRPr="00C32441">
        <w:rPr>
          <w:rFonts w:hAnsi="標楷體"/>
          <w:color w:val="000000" w:themeColor="text1"/>
          <w:sz w:val="24"/>
        </w:rPr>
        <w:t>副本</w:t>
      </w:r>
      <w:r w:rsidRPr="00C32441">
        <w:rPr>
          <w:rFonts w:hAnsi="標楷體" w:hint="eastAsia"/>
          <w:color w:val="000000" w:themeColor="text1"/>
          <w:sz w:val="24"/>
        </w:rPr>
        <w:t>是否</w:t>
      </w:r>
      <w:r w:rsidRPr="00C32441">
        <w:rPr>
          <w:rFonts w:hAnsi="標楷體"/>
          <w:color w:val="000000" w:themeColor="text1"/>
          <w:sz w:val="24"/>
        </w:rPr>
        <w:t>交付各監察人查閱。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3.5.稽核報告、工作底稿及相關資料是否至少保存五年。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360"/>
        <w:jc w:val="both"/>
        <w:rPr>
          <w:rFonts w:hAnsi="標楷體"/>
          <w:color w:val="000000" w:themeColor="text1"/>
          <w:sz w:val="24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left="397" w:right="28" w:hanging="39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C32441">
        <w:rPr>
          <w:rFonts w:ascii="標楷體" w:eastAsia="標楷體" w:hAnsi="標楷體" w:hint="eastAsia"/>
          <w:b/>
          <w:color w:val="000000" w:themeColor="text1"/>
          <w:szCs w:val="24"/>
        </w:rPr>
        <w:t>4.</w:t>
      </w:r>
      <w:r w:rsidR="00517E51" w:rsidRPr="00C3244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C32441">
        <w:rPr>
          <w:rFonts w:ascii="標楷體" w:eastAsia="標楷體" w:hAnsi="標楷體" w:hint="eastAsia"/>
          <w:b/>
          <w:color w:val="000000" w:themeColor="text1"/>
          <w:szCs w:val="24"/>
        </w:rPr>
        <w:t>使用表單：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4.1.內部稽核查檢表。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4.2.內部控制遵循測試表。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4.3.內部稽核事項追蹤紀錄表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4.4.會辦單。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360"/>
        <w:jc w:val="both"/>
        <w:rPr>
          <w:rFonts w:hAnsi="標楷體"/>
          <w:color w:val="000000" w:themeColor="text1"/>
          <w:sz w:val="24"/>
        </w:rPr>
      </w:pPr>
    </w:p>
    <w:p w:rsidR="00652829" w:rsidRPr="00C32441" w:rsidRDefault="00652829" w:rsidP="00331604">
      <w:pPr>
        <w:autoSpaceDE w:val="0"/>
        <w:autoSpaceDN w:val="0"/>
        <w:spacing w:line="240" w:lineRule="auto"/>
        <w:ind w:left="397" w:right="28" w:hanging="39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C32441">
        <w:rPr>
          <w:rFonts w:ascii="標楷體" w:eastAsia="標楷體" w:hAnsi="標楷體" w:hint="eastAsia"/>
          <w:b/>
          <w:color w:val="000000" w:themeColor="text1"/>
          <w:szCs w:val="24"/>
        </w:rPr>
        <w:t>5.</w:t>
      </w:r>
      <w:r w:rsidR="00517E51" w:rsidRPr="00C3244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C32441">
        <w:rPr>
          <w:rFonts w:ascii="標楷體" w:eastAsia="標楷體" w:hAnsi="標楷體" w:hint="eastAsia"/>
          <w:b/>
          <w:color w:val="000000" w:themeColor="text1"/>
          <w:szCs w:val="24"/>
        </w:rPr>
        <w:t>依據及相關文件：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5.1.教育部</w:t>
      </w:r>
      <w:r w:rsidRPr="00C32441">
        <w:rPr>
          <w:rFonts w:hAnsi="標楷體"/>
          <w:color w:val="000000" w:themeColor="text1"/>
          <w:sz w:val="24"/>
        </w:rPr>
        <w:t>學校財團法人及所設私立學校內部控制制度實施辦法</w:t>
      </w:r>
      <w:r w:rsidRPr="00C32441">
        <w:rPr>
          <w:rFonts w:hAnsi="標楷體" w:hint="eastAsia"/>
          <w:color w:val="000000" w:themeColor="text1"/>
          <w:sz w:val="24"/>
        </w:rPr>
        <w:t>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5.2.環球科技大學稽核室設置辦法。</w:t>
      </w:r>
    </w:p>
    <w:p w:rsidR="00652829" w:rsidRPr="00C32441" w:rsidRDefault="00652829" w:rsidP="00331604">
      <w:pPr>
        <w:pStyle w:val="a7"/>
        <w:tabs>
          <w:tab w:val="clear" w:pos="960"/>
        </w:tabs>
        <w:ind w:leftChars="0" w:left="907" w:hanging="510"/>
        <w:jc w:val="both"/>
        <w:rPr>
          <w:rFonts w:hAnsi="標楷體"/>
          <w:color w:val="000000" w:themeColor="text1"/>
          <w:sz w:val="24"/>
        </w:rPr>
      </w:pPr>
      <w:r w:rsidRPr="00C32441">
        <w:rPr>
          <w:rFonts w:hAnsi="標楷體" w:hint="eastAsia"/>
          <w:color w:val="000000" w:themeColor="text1"/>
          <w:sz w:val="24"/>
        </w:rPr>
        <w:t>5.3.環球科技大學內部稽核實施</w:t>
      </w:r>
      <w:r w:rsidR="005E5188" w:rsidRPr="00C32441">
        <w:rPr>
          <w:rFonts w:hAnsi="標楷體" w:hint="eastAsia"/>
          <w:color w:val="000000" w:themeColor="text1"/>
          <w:sz w:val="24"/>
        </w:rPr>
        <w:t>辦法</w:t>
      </w:r>
      <w:r w:rsidRPr="00C32441">
        <w:rPr>
          <w:rFonts w:hAnsi="標楷體" w:hint="eastAsia"/>
          <w:color w:val="000000" w:themeColor="text1"/>
          <w:sz w:val="24"/>
        </w:rPr>
        <w:t>。</w:t>
      </w:r>
    </w:p>
    <w:p w:rsidR="00051450" w:rsidRPr="00C32441" w:rsidRDefault="00051450" w:rsidP="00331604">
      <w:pPr>
        <w:jc w:val="both"/>
        <w:rPr>
          <w:color w:val="000000" w:themeColor="text1"/>
        </w:rPr>
      </w:pPr>
    </w:p>
    <w:sectPr w:rsidR="00051450" w:rsidRPr="00C32441" w:rsidSect="00943981">
      <w:headerReference w:type="default" r:id="rId9"/>
      <w:footerReference w:type="default" r:id="rId10"/>
      <w:pgSz w:w="11906" w:h="16838" w:code="9"/>
      <w:pgMar w:top="1134" w:right="1134" w:bottom="1134" w:left="1134" w:header="851" w:footer="680" w:gutter="0"/>
      <w:pgNumType w:start="4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74" w:rsidRDefault="005D0C74" w:rsidP="00046F00">
      <w:pPr>
        <w:spacing w:line="240" w:lineRule="auto"/>
      </w:pPr>
      <w:r>
        <w:separator/>
      </w:r>
    </w:p>
  </w:endnote>
  <w:endnote w:type="continuationSeparator" w:id="0">
    <w:p w:rsidR="005D0C74" w:rsidRDefault="005D0C74" w:rsidP="00046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E3" w:rsidRDefault="00652829" w:rsidP="00E40097">
    <w:pPr>
      <w:pStyle w:val="a3"/>
      <w:tabs>
        <w:tab w:val="clear" w:pos="4153"/>
        <w:tab w:val="clear" w:pos="8306"/>
      </w:tabs>
      <w:jc w:val="center"/>
    </w:pPr>
    <w:r>
      <w:t xml:space="preserve">- </w:t>
    </w:r>
    <w:r w:rsidR="00934F6A">
      <w:fldChar w:fldCharType="begin"/>
    </w:r>
    <w:r>
      <w:instrText xml:space="preserve"> PAGE </w:instrText>
    </w:r>
    <w:r w:rsidR="00934F6A">
      <w:fldChar w:fldCharType="separate"/>
    </w:r>
    <w:r w:rsidR="00943981">
      <w:rPr>
        <w:noProof/>
      </w:rPr>
      <w:t>441</w:t>
    </w:r>
    <w:r w:rsidR="00934F6A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74" w:rsidRDefault="005D0C74" w:rsidP="00046F00">
      <w:pPr>
        <w:spacing w:line="240" w:lineRule="auto"/>
      </w:pPr>
      <w:r>
        <w:separator/>
      </w:r>
    </w:p>
  </w:footnote>
  <w:footnote w:type="continuationSeparator" w:id="0">
    <w:p w:rsidR="005D0C74" w:rsidRDefault="005D0C74" w:rsidP="00046F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1" w:type="dxa"/>
      <w:jc w:val="center"/>
      <w:tblBorders>
        <w:top w:val="single" w:sz="4" w:space="0" w:color="auto"/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22"/>
      <w:gridCol w:w="5760"/>
      <w:gridCol w:w="677"/>
      <w:gridCol w:w="2162"/>
    </w:tblGrid>
    <w:tr w:rsidR="00331CB4" w:rsidTr="00504FDC">
      <w:trPr>
        <w:cantSplit/>
        <w:trHeight w:val="202"/>
        <w:jc w:val="center"/>
      </w:trPr>
      <w:tc>
        <w:tcPr>
          <w:tcW w:w="112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1CB4" w:rsidRDefault="00652829">
          <w:pPr>
            <w:spacing w:line="400" w:lineRule="exact"/>
            <w:ind w:left="84"/>
            <w:jc w:val="both"/>
            <w:rPr>
              <w:rFonts w:ascii="標楷體" w:eastAsia="標楷體"/>
              <w:b/>
              <w:kern w:val="2"/>
              <w:sz w:val="20"/>
              <w:szCs w:val="24"/>
            </w:rPr>
          </w:pPr>
          <w:r>
            <w:rPr>
              <w:rFonts w:ascii="標楷體" w:eastAsia="標楷體" w:hint="eastAsia"/>
              <w:b/>
              <w:sz w:val="20"/>
            </w:rPr>
            <w:t>文件名稱</w:t>
          </w:r>
        </w:p>
      </w:tc>
      <w:tc>
        <w:tcPr>
          <w:tcW w:w="57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331CB4" w:rsidRDefault="005D0C74">
          <w:pPr>
            <w:spacing w:line="400" w:lineRule="exact"/>
            <w:ind w:left="-35"/>
            <w:jc w:val="both"/>
            <w:rPr>
              <w:rFonts w:ascii="標楷體" w:eastAsia="標楷體"/>
              <w:b/>
              <w:kern w:val="2"/>
              <w:sz w:val="20"/>
              <w:szCs w:val="24"/>
            </w:rPr>
          </w:pPr>
        </w:p>
      </w:tc>
      <w:tc>
        <w:tcPr>
          <w:tcW w:w="67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31CB4" w:rsidRDefault="00652829">
          <w:pPr>
            <w:spacing w:line="400" w:lineRule="exact"/>
            <w:ind w:left="84"/>
            <w:jc w:val="both"/>
            <w:rPr>
              <w:rFonts w:ascii="標楷體" w:eastAsia="標楷體"/>
              <w:b/>
              <w:kern w:val="2"/>
              <w:sz w:val="20"/>
              <w:szCs w:val="24"/>
            </w:rPr>
          </w:pPr>
          <w:r>
            <w:rPr>
              <w:rFonts w:ascii="標楷體" w:eastAsia="標楷體" w:hint="eastAsia"/>
              <w:b/>
              <w:sz w:val="20"/>
            </w:rPr>
            <w:t>版次</w:t>
          </w:r>
        </w:p>
      </w:tc>
      <w:tc>
        <w:tcPr>
          <w:tcW w:w="216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331CB4" w:rsidRDefault="00652829">
          <w:pPr>
            <w:spacing w:line="400" w:lineRule="exact"/>
            <w:ind w:left="84"/>
            <w:jc w:val="both"/>
            <w:rPr>
              <w:rFonts w:ascii="標楷體" w:eastAsia="標楷體"/>
              <w:b/>
              <w:kern w:val="2"/>
              <w:sz w:val="20"/>
              <w:szCs w:val="24"/>
            </w:rPr>
          </w:pPr>
          <w:r>
            <w:rPr>
              <w:rFonts w:ascii="標楷體" w:eastAsia="標楷體" w:hint="eastAsia"/>
              <w:b/>
              <w:sz w:val="20"/>
            </w:rPr>
            <w:t>文件編號</w:t>
          </w:r>
        </w:p>
      </w:tc>
    </w:tr>
    <w:tr w:rsidR="00331CB4" w:rsidRPr="00A9517B" w:rsidTr="00504FDC">
      <w:trPr>
        <w:cantSplit/>
        <w:trHeight w:val="320"/>
        <w:jc w:val="center"/>
      </w:trPr>
      <w:tc>
        <w:tcPr>
          <w:tcW w:w="112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31CB4" w:rsidRDefault="00652829">
          <w:pPr>
            <w:spacing w:line="400" w:lineRule="exact"/>
            <w:ind w:left="-35"/>
            <w:jc w:val="center"/>
            <w:rPr>
              <w:rFonts w:ascii="標楷體" w:eastAsia="標楷體"/>
              <w:b/>
              <w:kern w:val="2"/>
              <w:sz w:val="28"/>
              <w:szCs w:val="24"/>
            </w:rPr>
          </w:pPr>
          <w:r>
            <w:rPr>
              <w:rFonts w:eastAsia="標楷體"/>
              <w:b/>
              <w:sz w:val="28"/>
            </w:rPr>
            <w:br w:type="page"/>
          </w:r>
          <w:r>
            <w:rPr>
              <w:rFonts w:eastAsia="標楷體"/>
              <w:b/>
              <w:sz w:val="28"/>
            </w:rPr>
            <w:br w:type="page"/>
          </w:r>
          <w:r>
            <w:rPr>
              <w:b/>
              <w:sz w:val="28"/>
            </w:rPr>
            <w:br w:type="page"/>
          </w:r>
        </w:p>
      </w:tc>
      <w:tc>
        <w:tcPr>
          <w:tcW w:w="57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31CB4" w:rsidRDefault="00652829">
          <w:pPr>
            <w:spacing w:line="400" w:lineRule="exact"/>
            <w:ind w:left="-35"/>
            <w:jc w:val="center"/>
            <w:rPr>
              <w:rFonts w:eastAsia="標楷體"/>
              <w:b/>
              <w:kern w:val="2"/>
              <w:sz w:val="28"/>
              <w:szCs w:val="24"/>
            </w:rPr>
          </w:pPr>
          <w:r>
            <w:rPr>
              <w:rFonts w:eastAsia="標楷體" w:hint="eastAsia"/>
              <w:b/>
              <w:sz w:val="28"/>
            </w:rPr>
            <w:t>內部控制制度</w:t>
          </w:r>
        </w:p>
      </w:tc>
      <w:tc>
        <w:tcPr>
          <w:tcW w:w="67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1CB4" w:rsidRPr="00A9517B" w:rsidRDefault="00CB4AC9" w:rsidP="0098511D">
          <w:pPr>
            <w:spacing w:line="400" w:lineRule="exact"/>
            <w:ind w:left="-35"/>
            <w:jc w:val="center"/>
            <w:rPr>
              <w:rFonts w:eastAsia="標楷體"/>
              <w:b/>
              <w:kern w:val="2"/>
              <w:sz w:val="20"/>
            </w:rPr>
          </w:pPr>
          <w:r>
            <w:rPr>
              <w:rFonts w:eastAsia="標楷體" w:hint="eastAsia"/>
              <w:b/>
              <w:kern w:val="2"/>
              <w:sz w:val="20"/>
            </w:rPr>
            <w:t>5</w:t>
          </w:r>
        </w:p>
      </w:tc>
      <w:tc>
        <w:tcPr>
          <w:tcW w:w="216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331CB4" w:rsidRPr="00A9517B" w:rsidRDefault="000C7957" w:rsidP="00F47BA5">
          <w:pPr>
            <w:pStyle w:val="2"/>
            <w:spacing w:after="0" w:line="400" w:lineRule="exact"/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SCRO</w:t>
          </w:r>
          <w:r w:rsidR="00504FDC" w:rsidRPr="00A9517B">
            <w:rPr>
              <w:rFonts w:eastAsia="標楷體"/>
              <w:b/>
              <w:sz w:val="20"/>
            </w:rPr>
            <w:t>-O-20</w:t>
          </w:r>
          <w:r w:rsidR="00F47BA5">
            <w:rPr>
              <w:rFonts w:eastAsia="標楷體" w:hint="eastAsia"/>
              <w:b/>
              <w:sz w:val="20"/>
            </w:rPr>
            <w:t>20</w:t>
          </w:r>
          <w:r w:rsidR="00504FDC" w:rsidRPr="00A9517B">
            <w:rPr>
              <w:rFonts w:eastAsia="標楷體"/>
              <w:b/>
              <w:sz w:val="20"/>
            </w:rPr>
            <w:t>-</w:t>
          </w:r>
          <w:r w:rsidR="005C65A5">
            <w:rPr>
              <w:rFonts w:eastAsia="標楷體" w:hint="eastAsia"/>
              <w:b/>
              <w:sz w:val="20"/>
            </w:rPr>
            <w:t>E</w:t>
          </w:r>
          <w:r w:rsidR="00504FDC" w:rsidRPr="00A9517B">
            <w:rPr>
              <w:rFonts w:eastAsia="標楷體"/>
              <w:b/>
              <w:sz w:val="20"/>
            </w:rPr>
            <w:t>001</w:t>
          </w:r>
        </w:p>
      </w:tc>
    </w:tr>
  </w:tbl>
  <w:p w:rsidR="00331CB4" w:rsidRDefault="005D0C74" w:rsidP="00331CB4">
    <w:pPr>
      <w:pStyle w:val="a5"/>
      <w:rPr>
        <w:kern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6E5"/>
    <w:multiLevelType w:val="hybridMultilevel"/>
    <w:tmpl w:val="AB6CEC14"/>
    <w:lvl w:ilvl="0" w:tplc="8820A5D6">
      <w:start w:val="7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9"/>
    <w:rsid w:val="0001441C"/>
    <w:rsid w:val="00023FA7"/>
    <w:rsid w:val="00035C3E"/>
    <w:rsid w:val="00046F00"/>
    <w:rsid w:val="00051450"/>
    <w:rsid w:val="000C7957"/>
    <w:rsid w:val="000F2F0D"/>
    <w:rsid w:val="00103A52"/>
    <w:rsid w:val="001A5F6C"/>
    <w:rsid w:val="001F744E"/>
    <w:rsid w:val="001F77A6"/>
    <w:rsid w:val="002106DD"/>
    <w:rsid w:val="002208C0"/>
    <w:rsid w:val="00254C1A"/>
    <w:rsid w:val="00287999"/>
    <w:rsid w:val="002F3C43"/>
    <w:rsid w:val="00317D7B"/>
    <w:rsid w:val="00331604"/>
    <w:rsid w:val="00334CF1"/>
    <w:rsid w:val="00375766"/>
    <w:rsid w:val="004139CB"/>
    <w:rsid w:val="00465C14"/>
    <w:rsid w:val="004745AD"/>
    <w:rsid w:val="004D7019"/>
    <w:rsid w:val="00504FDC"/>
    <w:rsid w:val="00506B73"/>
    <w:rsid w:val="00517E51"/>
    <w:rsid w:val="00546563"/>
    <w:rsid w:val="005C65A5"/>
    <w:rsid w:val="005D0C74"/>
    <w:rsid w:val="005E5188"/>
    <w:rsid w:val="00605AB8"/>
    <w:rsid w:val="00652829"/>
    <w:rsid w:val="00665AA4"/>
    <w:rsid w:val="00675F96"/>
    <w:rsid w:val="00695040"/>
    <w:rsid w:val="006A07BD"/>
    <w:rsid w:val="006E44D3"/>
    <w:rsid w:val="006F6D25"/>
    <w:rsid w:val="00783762"/>
    <w:rsid w:val="007B7E4B"/>
    <w:rsid w:val="007C069A"/>
    <w:rsid w:val="007D34D4"/>
    <w:rsid w:val="0080276C"/>
    <w:rsid w:val="008065AF"/>
    <w:rsid w:val="00807E15"/>
    <w:rsid w:val="008610B7"/>
    <w:rsid w:val="00877740"/>
    <w:rsid w:val="008E3B4A"/>
    <w:rsid w:val="00934F6A"/>
    <w:rsid w:val="00943981"/>
    <w:rsid w:val="009731C8"/>
    <w:rsid w:val="0098511D"/>
    <w:rsid w:val="009A1E48"/>
    <w:rsid w:val="00A525B1"/>
    <w:rsid w:val="00A9517B"/>
    <w:rsid w:val="00AC14AC"/>
    <w:rsid w:val="00BA6EE3"/>
    <w:rsid w:val="00C32441"/>
    <w:rsid w:val="00CB4AC9"/>
    <w:rsid w:val="00D00875"/>
    <w:rsid w:val="00D43334"/>
    <w:rsid w:val="00D473AC"/>
    <w:rsid w:val="00D532A9"/>
    <w:rsid w:val="00D57CF9"/>
    <w:rsid w:val="00D720E1"/>
    <w:rsid w:val="00D95B85"/>
    <w:rsid w:val="00DE78F9"/>
    <w:rsid w:val="00E15EE7"/>
    <w:rsid w:val="00E57470"/>
    <w:rsid w:val="00E67007"/>
    <w:rsid w:val="00EF676E"/>
    <w:rsid w:val="00F12A09"/>
    <w:rsid w:val="00F47BA5"/>
    <w:rsid w:val="00F72FA1"/>
    <w:rsid w:val="00F746C0"/>
    <w:rsid w:val="00FD03FF"/>
    <w:rsid w:val="00FE3890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6DE4C-F9AC-4117-A9E1-B1AEAE85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2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652829"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52829"/>
    <w:rPr>
      <w:rFonts w:ascii="Times New Roman" w:eastAsia="新細明體" w:hAnsi="Times New Roman" w:cs="Times New Roman"/>
      <w:sz w:val="28"/>
      <w:szCs w:val="20"/>
    </w:rPr>
  </w:style>
  <w:style w:type="paragraph" w:styleId="a3">
    <w:name w:val="footer"/>
    <w:aliases w:val="表格頁尾"/>
    <w:basedOn w:val="a"/>
    <w:link w:val="a4"/>
    <w:rsid w:val="0065282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rsid w:val="00652829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6528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652829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lock Text"/>
    <w:basedOn w:val="a"/>
    <w:rsid w:val="00652829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paragraph" w:styleId="HTML">
    <w:name w:val="HTML Preformatted"/>
    <w:basedOn w:val="a"/>
    <w:link w:val="HTML0"/>
    <w:rsid w:val="006528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basedOn w:val="a0"/>
    <w:link w:val="HTML"/>
    <w:rsid w:val="00652829"/>
    <w:rPr>
      <w:rFonts w:ascii="細明體" w:eastAsia="細明體" w:hAnsi="細明體" w:cs="Times New Roman"/>
      <w:kern w:val="0"/>
      <w:szCs w:val="24"/>
    </w:rPr>
  </w:style>
  <w:style w:type="paragraph" w:styleId="a8">
    <w:name w:val="List Paragraph"/>
    <w:basedOn w:val="a"/>
    <w:uiPriority w:val="34"/>
    <w:qFormat/>
    <w:rsid w:val="00D473A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47B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7BA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TWU</cp:lastModifiedBy>
  <cp:revision>6</cp:revision>
  <cp:lastPrinted>2020-09-21T01:28:00Z</cp:lastPrinted>
  <dcterms:created xsi:type="dcterms:W3CDTF">2019-10-09T02:35:00Z</dcterms:created>
  <dcterms:modified xsi:type="dcterms:W3CDTF">2020-10-07T05:35:00Z</dcterms:modified>
</cp:coreProperties>
</file>